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A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LARGOMETRAJE DE FICCIÓN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pVTJr8a3J5ezq+CMhG/PVAvN+g==">CgMxLjAyCGguZ2pkZ3hzOAByITFNQUZITFFURlpCRXVHZTVkc2VIamh5bVlLbDdmS3R4Ng==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