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USO NO EXCLUSIVO DE TEASER Y/O TRAILER DE OBRA AUDIOVISUAL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(el) (los) tráiler(s) y/o de (el) (los) teaser(s) de una obra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“CONVOCATORIA”)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la obra/proyecto vinculado a la postulación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una (01) licencia de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obra, sin fines comerciales, por un periodo de diez (10) años desde su suscripción, dentro del territorio nacional, de acuerdo al modelo establecido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 manera no exclusiva, sin fines comerciales,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la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con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forme lo establecido en las cláusulas establecidas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(DE LOS) TRÁILER(S) Y/O DEL (DE LOS) TEASER(S) DE LA OBRA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según corresponda,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Han cumplido con pagar por adelantado y de manera directa cualquier pago por concepto de regalías, derechos de autor y/o derechos conexos, que se generen por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extienden al territorio nacional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en el marco de sus funciones, desee realizar la comunicación pública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11.1.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