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FICHA PARA POSTULANTES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80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ffff"/>
                <w:sz w:val="18"/>
                <w:szCs w:val="18"/>
                <w:rtl w:val="0"/>
              </w:rPr>
              <w:t xml:space="preserve">Recuerde que, de acuerdo a las bases de la convocatoria, los proyectos deben contar con el reconocimiento e inscripción vigente en el Registro Nacional de la Cinematografía y el Audiovisual - RENCA. Considerar que dicho trámite comprenderá un plazo de quince (15) días hábiles desde la solicitud. Para mayor información sobre el Registro Nacional de la Cinematografía y el Audiovisual y el procedimiento de inscripción correspondiente, ingrese al siguiente enlace: </w:t>
            </w:r>
            <w:hyperlink r:id="rId7">
              <w:r w:rsidDel="00000000" w:rsidR="00000000" w:rsidRPr="00000000">
                <w:rPr>
                  <w:i w:val="1"/>
                  <w:color w:val="ffffff"/>
                  <w:sz w:val="18"/>
                  <w:szCs w:val="18"/>
                  <w:u w:val="single"/>
                  <w:rtl w:val="0"/>
                </w:rPr>
                <w:t xml:space="preserve">http://dafo.cultura.pe/renca/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4890"/>
        <w:tblGridChange w:id="0">
          <w:tblGrid>
            <w:gridCol w:w="4110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0080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Información / Material requerido</w:t>
            </w:r>
          </w:p>
        </w:tc>
        <w:tc>
          <w:tcPr>
            <w:shd w:fill="0080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Completar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original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del proyecto (Español)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del proyecto (Inglés)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País de procedencia del proyecto de obra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País(es) minoritario(s)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 ser el caso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Género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Puede ser: Digital 4k / Digital 2k / Digital 1080p / 35mm / 16mm / 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Duración (minutos)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Sinopsis (español)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400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Sinopsis (inglés)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400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Bio-filmografía del director/a (español)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500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Bio-filmografía del director/a (inglés)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Máximo 500 caracteres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Premios/estímulos recibidos por 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Empresas productoras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En orden de porcentaje de participación (mayor a menor)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 de la persona de contacto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Enlace de descarga de tres (3) stills en alta calidad y (1) foto del director o directora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Resolución mínima 300 DPI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Formato JPG o PNG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Perfil RGB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Enlace de descarga de 2 escenas de la obra, de 10 segundos cada una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Formato MP4 o MOV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984.2519685039372" w:top="1984.251968503937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5477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8547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afo.cultura.pe/renca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fDuTfypYrvs1d925gGwwfPjag==">CgMxLjA4AHIhMWhsbDlOd1lpZGRFWmRLSzNVN1ZLbmo2d29wamtDc2w2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